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Tinker Crate STEAM Crates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STEAM learning skills for my child through hands-on, screen-free STEAM projects. Through the guided builds and activities, in addition to appropriate and on-theme reading and extension activities, my child will gain problem-solving and critical thinking skills related to science and engineering tasks.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boxes and guided technical instructions 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with every session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Explore iterations of ideas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update and add specific context of how you plan to use the items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the building activity relevant to the theme of the kit)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Instruction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build the themed activity using the provided project supplies)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